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41" w:rsidRDefault="00BA5DAE">
      <w:pPr>
        <w:spacing w:after="0" w:line="240" w:lineRule="auto"/>
        <w:contextualSpacing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 xml:space="preserve">НОВЫЕ ИЗМЕНЕНИЯ В ТРУДОВОМ ЗАКОНОДАТЕЛЬСТВЕ </w:t>
      </w:r>
    </w:p>
    <w:p w:rsidR="00AE7841" w:rsidRDefault="00BA5DAE">
      <w:pPr>
        <w:spacing w:after="0" w:line="240" w:lineRule="auto"/>
        <w:ind w:firstLine="567"/>
        <w:contextualSpacing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 xml:space="preserve">В 2025-2026 ГОДАХ </w:t>
      </w:r>
      <w:bookmarkStart w:id="1" w:name="undefined"/>
      <w:bookmarkEnd w:id="1"/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Принято Региональное соглашение о минимальной заработной плате в Удмуртской Республике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Региональное соглашение о минимальной заработной плате в Удмуртской Республике</w:t>
            </w:r>
          </w:p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(заключено  23.01.2026 № АБ-01-85/1)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1 января 2026 года минимальная месячная заработная плата работника, работающего на территории Удмуртской Республики и состоящего в трудовых отношениях с работодателем (за исключением работника организации, финансируемой из федерального бюджета), должна бы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ть не ниже 27093 рублей (с учетом районного коэффициента - 31156 рублей 95 копеек) при условии, что работником полностью отработана за этот период норма рабочего времени и выполнены нормы труда (трудовые обязанности).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Также Региональным соглашением определен перечень выплат, не включенных в минимальную месячную заработную плату. 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 xml:space="preserve">КС РФ подтвердил, что при задержке работодателем выплаты работнику компенсации морального вреда в связи </w:t>
      </w: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lastRenderedPageBreak/>
        <w:t>с несчастным случаем на производстве</w:t>
      </w: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 xml:space="preserve"> с работодателя взыскиваются проценты, установленные частью первой статьи 236 ТК РФ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Постановление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Конституционного Суда РФ от 15.12.2025 № 44-П «По делу о проверке конституционности части первой статьи 236 Трудового кодекса Российской Федерации в связи с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жалобой гражданина Полежаева Алексея Викторовича»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Ч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асть первая статьи 236 ТК РФ признана не противоречащей Конституции РФ, поскольку по своему конституционно-правовому смыслу в системе действующего правового регулирования она предполагает начисление в соответствии с установленными правилами процентов (дене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жной компенсации) на присужденную работнику в связи с несчастным случаем на производстве сумму компенсации морального вреда за период неисполнения (задержки исполнения) работодателем судебного решения о взыскании с него указанной компенсации начиная со дня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, следующего за днем вступления в законную силу указанного решения суда, по день фактического расчета включительно.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Указанная норма предполагает, что за период, когда решение суда о выплате работнику компенсации морального вреда не исполнено, работник, будучи незаконно лишенным причитающихся ему денежных средств, имеет право на применение предусмотренного данной нормой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компенсационного механизма.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color w:val="000000"/>
          <w:sz w:val="16"/>
          <w:szCs w:val="16"/>
        </w:rPr>
        <w:t> 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Иностранные работники в разных отраслях: правительство установило квоты на 2026 год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contextualSpacing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Постановление Правительства РФ от 05.12.2025 № 1995 «Об установлении на 2026 год допустимой доли иностранных работников, используемых хозя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йствующими субъектами, осуществляющими на территории Российской Федерации отдельные виды экономической деятельности»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Изменили и общие по стране квоты, и квоты для отдельных регионов. Общие квоты снизили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для ряда работ, в т.ч. для выращивания овощей и оптовой торговли пиломатериалами - до 40%, для строительства - до 50%. Для предоставления продуктов и напитков установили квоту в размере 50%.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Запрет на труд иностранцев в отдельных отраслях установили в При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морском крае, Орловской, Тверской, Ульяновской областях и других регионах.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Работодателям нужно было привести численность иностранцев в соответствие с ограничениями до начала 2026 года. Иначе организации грозит штраф от 800 тыс. до 1 млн руб. или приостанов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ка деятельности на срок от 14 до 90 суток. Должностное лицо могут оштрафовать на сумму от 45 тыс. до 50 тыс. руб.</w:t>
      </w:r>
    </w:p>
    <w:p w:rsidR="00AE7841" w:rsidRDefault="00AE7841">
      <w:pPr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lastRenderedPageBreak/>
        <w:t>Минтрудом России утверждены типовые дополнительные профессиональные программы в области комплексной реабилитации и абилитации инвалидов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риказ Минтруда России от 25.09.2025 № 574н «Об утверждении типовых дополнительных профессиональных программ в области комплексной реабилитации и абилитации инвалидов» 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Приказом утверждены: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типовая дополнительная профессиональная программа повышения квали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фикации специалистов по организации системы комплексной реабилитации и абилитации инвалидов и детей-инвалидов в субъекте РФ;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типовая дополнительная профессиональная программа повышения квалификации специалистов по организации оказания услуг по основным нап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равлениям комплексной реабилитации и абилитации инвалидов и детей-инвалидов в реабилитационной организации;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типовая дополнительная профессиональная программа повышения квалификации специалистов по оказанию услуг по комплексной социальной реабилитации и аби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литации инвалидов и детей-инвалидов.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Финансирование предупредительных мер по сокращению травматизма: Минтруд России уточнил правила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hyperlink r:id="rId7" w:tooltip="https://login.consultant.ru/link/?req=doc&amp;base=LAW&amp;n=521167&amp;dst=100009&amp;demo=1" w:history="1">
              <w:r>
                <w:rPr>
                  <w:rFonts w:ascii="PT Astra Serif" w:eastAsia="PT Astra Serif" w:hAnsi="PT Astra Serif" w:cs="PT Astra Serif"/>
                  <w:color w:val="000000"/>
                  <w:sz w:val="24"/>
                  <w:szCs w:val="24"/>
                </w:rPr>
                <w:t>Приказ Минтруда России от 08.08.2025 № 497н</w:t>
              </w:r>
            </w:hyperlink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«О внесении изменений в Правила финан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ые приказом Министерства труда и социальной защиты Российской Федерации от 11 июля 2024 № 347н» 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Расширили перечень предупредительных мер. Определили способы подачи заявлений о финансировании таких мер и о возмещении расходов. Скорректировали срок подачи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заявления о возмещении сумм и другие сроки. Документ вступил в силу 21 декабря 2025 года.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Состав предупредительных мер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Перечень предупредительных мер скорректирован. Социальный фонд России (далее - фонд) возместит расходы страхователя на покупку, в частности:</w:t>
      </w:r>
    </w:p>
    <w:p w:rsidR="00AE7841" w:rsidRDefault="00BA5DAE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вендингового оборудования и дозаторов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для выдачи СИЗ и смывающих средств;</w:t>
      </w:r>
    </w:p>
    <w:p w:rsidR="00AE7841" w:rsidRDefault="00BA5DAE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медизделий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для измерения давления и пульс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а, если работники проходят предсменные (послесменные) и предрейсовые (послерейсовые) медосмотры, а также оборудования для дистанционных медосмотров;</w:t>
      </w:r>
    </w:p>
    <w:p w:rsidR="00AE7841" w:rsidRDefault="00BA5DAE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криптографического средства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, если страхователь осуществляет пассажирские и грузовые перевозки;</w:t>
      </w:r>
    </w:p>
    <w:p w:rsidR="00AE7841" w:rsidRDefault="00BA5DAE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комплектующи</w:t>
      </w:r>
      <w:r>
        <w:rPr>
          <w:rFonts w:ascii="PT Astra Serif" w:eastAsia="PT Astra Serif" w:hAnsi="PT Astra Serif" w:cs="PT Astra Serif"/>
          <w:sz w:val="28"/>
          <w:szCs w:val="28"/>
        </w:rPr>
        <w:t>х медицинских изделий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к аптечкам первой помощи.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 xml:space="preserve">Туристический налог учтут в расходах на оплату путевок на санаторно-курортное лечение </w:t>
      </w:r>
      <w:r>
        <w:rPr>
          <w:rFonts w:ascii="PT Astra Serif" w:eastAsia="PT Astra Serif" w:hAnsi="PT Astra Serif" w:cs="PT Astra Serif"/>
          <w:sz w:val="28"/>
          <w:szCs w:val="28"/>
        </w:rPr>
        <w:t>сотрудников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занятых на вредных производствах, и </w:t>
      </w:r>
      <w:r>
        <w:rPr>
          <w:rFonts w:ascii="PT Astra Serif" w:eastAsia="PT Astra Serif" w:hAnsi="PT Astra Serif" w:cs="PT Astra Serif"/>
          <w:sz w:val="28"/>
          <w:szCs w:val="28"/>
        </w:rPr>
        <w:t>предпенсионеров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Также дополнили перечень категорий работников для </w:t>
      </w:r>
      <w:r>
        <w:rPr>
          <w:rFonts w:ascii="PT Astra Serif" w:eastAsia="PT Astra Serif" w:hAnsi="PT Astra Serif" w:cs="PT Astra Serif"/>
          <w:sz w:val="28"/>
          <w:szCs w:val="28"/>
        </w:rPr>
        <w:t>обучения охране труда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расходы на которое финансируют за счет взносов. В него </w:t>
      </w:r>
      <w:r>
        <w:rPr>
          <w:rFonts w:ascii="PT Astra Serif" w:eastAsia="PT Astra Serif" w:hAnsi="PT Astra Serif" w:cs="PT Astra Serif"/>
          <w:sz w:val="28"/>
          <w:szCs w:val="28"/>
        </w:rPr>
        <w:t>включили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:rsidR="00AE7841" w:rsidRDefault="00BA5DAE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лиц, обязанных оказывать первую помощь;</w:t>
      </w:r>
    </w:p>
    <w:p w:rsidR="00AE7841" w:rsidRDefault="00BA5DAE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водителей;</w:t>
      </w:r>
    </w:p>
    <w:p w:rsidR="00AE7841" w:rsidRDefault="00BA5DAE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работников, которые должны уметь оказывать первую помощь;</w:t>
      </w:r>
    </w:p>
    <w:p w:rsidR="00AE7841" w:rsidRDefault="00BA5DAE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работников, применяющих СИЗ, когда это требует практических навыков.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Направление заявлений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Определили способы подачи заявлений </w:t>
      </w:r>
      <w:r>
        <w:rPr>
          <w:rFonts w:ascii="PT Astra Serif" w:eastAsia="PT Astra Serif" w:hAnsi="PT Astra Serif" w:cs="PT Astra Serif"/>
          <w:sz w:val="28"/>
          <w:szCs w:val="28"/>
        </w:rPr>
        <w:t>о финансировании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предупредительных мер и </w:t>
      </w:r>
      <w:r>
        <w:rPr>
          <w:rFonts w:ascii="PT Astra Serif" w:eastAsia="PT Astra Serif" w:hAnsi="PT Astra Serif" w:cs="PT Astra Serif"/>
          <w:sz w:val="28"/>
          <w:szCs w:val="28"/>
        </w:rPr>
        <w:t>о возмещении расходов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:rsidR="00AE7841" w:rsidRDefault="00BA5DAE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прямо в фонд;</w:t>
      </w:r>
    </w:p>
    <w:p w:rsidR="00AE7841" w:rsidRDefault="00BA5DAE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 почте;</w:t>
      </w:r>
    </w:p>
    <w:p w:rsidR="00AE7841" w:rsidRDefault="00BA5DAE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через интернет (в т.ч. через Госуслуги);</w:t>
      </w:r>
    </w:p>
    <w:p w:rsidR="00AE7841" w:rsidRDefault="00BA5DAE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МФЦ.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Изменение сроков и установление новых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 общему правилу решение о финансировании или об отказе примут в течение </w:t>
      </w:r>
      <w:r>
        <w:rPr>
          <w:rFonts w:ascii="PT Astra Serif" w:eastAsia="PT Astra Serif" w:hAnsi="PT Astra Serif" w:cs="PT Astra Serif"/>
          <w:sz w:val="28"/>
          <w:szCs w:val="28"/>
        </w:rPr>
        <w:t>9 рабочих дней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со дня получения документов. 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 xml:space="preserve">Страховщик </w:t>
      </w:r>
      <w:r>
        <w:rPr>
          <w:rFonts w:ascii="PT Astra Serif" w:eastAsia="PT Astra Serif" w:hAnsi="PT Astra Serif" w:cs="PT Astra Serif"/>
          <w:sz w:val="28"/>
          <w:szCs w:val="28"/>
        </w:rPr>
        <w:t>направит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страхователю решение о финансировании или об отказе в нем в течение 1 ра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бочего дня после подписания. В этот же срок решение разместят в ЛК страхователя на сайте фонда (если есть техническая возможность). Если фонд откажет в финансировании, он укажет причины.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Дополнительно обратиться в фонд за возмещением расходов на предупреди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тельные мероприятия станет возможным </w:t>
      </w:r>
      <w:r>
        <w:rPr>
          <w:rFonts w:ascii="PT Astra Serif" w:eastAsia="PT Astra Serif" w:hAnsi="PT Astra Serif" w:cs="PT Astra Serif"/>
          <w:sz w:val="28"/>
          <w:szCs w:val="28"/>
        </w:rPr>
        <w:t>не позднее 15 октября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текущего года. Также </w:t>
      </w:r>
      <w:r>
        <w:rPr>
          <w:rFonts w:ascii="PT Astra Serif" w:eastAsia="PT Astra Serif" w:hAnsi="PT Astra Serif" w:cs="PT Astra Serif"/>
          <w:sz w:val="28"/>
          <w:szCs w:val="28"/>
        </w:rPr>
        <w:t>не позднее 15 октября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можно подать заявление об уменьшении средств, если сумму использовали не полностью.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Отказ в финансировании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перечень причин отказа в финансировании </w:t>
      </w:r>
      <w:r>
        <w:rPr>
          <w:rFonts w:ascii="PT Astra Serif" w:eastAsia="PT Astra Serif" w:hAnsi="PT Astra Serif" w:cs="PT Astra Serif"/>
          <w:sz w:val="28"/>
          <w:szCs w:val="28"/>
        </w:rPr>
        <w:t>добав</w:t>
      </w:r>
      <w:r>
        <w:rPr>
          <w:rFonts w:ascii="PT Astra Serif" w:eastAsia="PT Astra Serif" w:hAnsi="PT Astra Serif" w:cs="PT Astra Serif"/>
          <w:sz w:val="28"/>
          <w:szCs w:val="28"/>
        </w:rPr>
        <w:t>или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:rsidR="00AE7841" w:rsidRDefault="00BA5DAE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неполную подачу документов;</w:t>
      </w:r>
    </w:p>
    <w:p w:rsidR="00AE7841" w:rsidRDefault="00BA5DAE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подачу недостоверных документов.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Также уточнили, что если фонд получит дополнительные средства, то ранее принятое решение об отказе из-за отсутствия денег он </w:t>
      </w:r>
      <w:r>
        <w:rPr>
          <w:rFonts w:ascii="PT Astra Serif" w:eastAsia="PT Astra Serif" w:hAnsi="PT Astra Serif" w:cs="PT Astra Serif"/>
          <w:sz w:val="28"/>
          <w:szCs w:val="28"/>
        </w:rPr>
        <w:t>сможет отменить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Возмещение расходов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Среди документов, которые обосновывают расходы, </w:t>
      </w:r>
      <w:r>
        <w:rPr>
          <w:rFonts w:ascii="PT Astra Serif" w:eastAsia="PT Astra Serif" w:hAnsi="PT Astra Serif" w:cs="PT Astra Serif"/>
          <w:sz w:val="28"/>
          <w:szCs w:val="28"/>
        </w:rPr>
        <w:t>назвали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, например, копии локальных нормативных актов, которые определяют отнесение работников к конкретной категории.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 xml:space="preserve">Установили максимальную сумму возмещения расходов на </w:t>
      </w:r>
      <w:r>
        <w:rPr>
          <w:rFonts w:ascii="PT Astra Serif" w:eastAsia="PT Astra Serif" w:hAnsi="PT Astra Serif" w:cs="PT Astra Serif"/>
          <w:sz w:val="28"/>
          <w:szCs w:val="28"/>
        </w:rPr>
        <w:t>санаторно-курортное лечение работнико</w:t>
      </w:r>
      <w:r>
        <w:rPr>
          <w:rFonts w:ascii="PT Astra Serif" w:eastAsia="PT Astra Serif" w:hAnsi="PT Astra Serif" w:cs="PT Astra Serif"/>
          <w:sz w:val="28"/>
          <w:szCs w:val="28"/>
        </w:rPr>
        <w:t>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Стоимость путевки определят исходя из цены койко-дня в размере </w:t>
      </w:r>
      <w:r>
        <w:rPr>
          <w:rFonts w:ascii="PT Astra Serif" w:eastAsia="PT Astra Serif" w:hAnsi="PT Astra Serif" w:cs="PT Astra Serif"/>
          <w:sz w:val="28"/>
          <w:szCs w:val="28"/>
        </w:rPr>
        <w:t>14 230,41 руб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Сумму </w:t>
      </w:r>
      <w:r>
        <w:rPr>
          <w:rFonts w:ascii="PT Astra Serif" w:eastAsia="PT Astra Serif" w:hAnsi="PT Astra Serif" w:cs="PT Astra Serif"/>
          <w:sz w:val="28"/>
          <w:szCs w:val="28"/>
        </w:rPr>
        <w:t>будут индексировать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ежегодно.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b/>
          <w:bCs/>
          <w:color w:val="000000"/>
          <w:sz w:val="16"/>
          <w:szCs w:val="16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b/>
          <w:bCs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Утверждена типовая дополнительная профессиональная программа повышения квалификации специалистов в области комплексной реабилитации и абилитации инвалидов, оказывающих услуги по социальной занятости инвалидов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Приказ Минтруда России от 06.10.2025 № 591н «О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б утверждении типовой дополнительной профессиональной программы повышения квалификации специалистов в области комплексной реабилитации и абилитации инвалидов, оказывающих услуги по социальной занятости инвалидов»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Программа предназначена для специалистов, оказывающих услуги по социальной занятости, к которым относятся: инструктор по труду, специалист по реабилитационной работе в социальной сфере, специалист в области воспитания, специалист по профориентации.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Индик</w:t>
      </w: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 xml:space="preserve">аторы риска для проверок Государственной инспекции труда: Минтруд России продлил срок действия перечня до 31 декабря 2026 года 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contextualSpacing/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Приказ Ми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нтруда России от 19.11.2025 № 658н «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 внесении изменения в абзац третий приказа Министерства труда и социальной защиты Российской Федерации от 30 ноября 2021 № 838н «Об утверждении перечня индикаторов риска нарушения обязательных требований при осуществлении федерального государственного кон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троля (надзора) за соблюдением трудового законодательства и иных нормативных правовых актов, содержащих нормы трудового права» 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Список индикаторов риска, которые могут указывать на нарушение работодателями обязательных требований, станут применять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до конца 2026 года. Прежний срок был до 31 декабря 2025 года. Сам перечень не скорректировали.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Изменения вступили в силу 29 декабря 2025 года.</w:t>
      </w:r>
    </w:p>
    <w:p w:rsidR="00AE7841" w:rsidRDefault="00AE7841">
      <w:pPr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На 2026 - 2028 годы утверждено Отраслевое соглашение по дорожному хозяйству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contextualSpacing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«Отраслевое соглашение по дорожному хозяйству Российской Федерации на 2026 - 2028 годы» (утв. Общероссийским профсоюзом работников автомобильного транспорта и дорожного хозяйства, Росавтодором, Российской ассоциацией территориальных органов управления авто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мобильными дорогами «РАДОР» 09.12.2025)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Соглашение регулирует социально-трудовые отношения и устанавливает общие принципы регулирования связанных с ними экономических отношений, определяет условия оплаты, охраны труда, режимы труда и отдыха, другие условия, а также трудовые гарантии и льготы раб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отникам в организациях независимо от организационно-правовых форм и видов собственности, в том числе работодателей - индивидуальных предпринимателей.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Соглашение распространяется на работников и работодателей подрядных организаций, организаций, занятых упра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влением дорожным хозяйством (органов управления автомобильными дорогами, заказчиков), государственных и муниципальных учреждений, не являющихся государственными служащими, в части, не противоречащей нормативным правовым актам Российской Федерации об оплате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труда работников федеральных государственных и муниципальных учреждений, проектных и изыскательских организаций.</w:t>
      </w:r>
    </w:p>
    <w:p w:rsidR="00AE7841" w:rsidRDefault="00AE7841">
      <w:pPr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Дни сдачи крови при сменном графике: ВС РФ указал, за сколько часов сохранять средний заработок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Обзор судебной практики ВС РФ № 4 (2025) (утв. Президиумом ВС РФ 22.12.2025)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Верховный Суд Российской Федерации включил в обзор такой </w:t>
      </w:r>
      <w:r>
        <w:rPr>
          <w:rFonts w:ascii="PT Astra Serif" w:eastAsia="PT Astra Serif" w:hAnsi="PT Astra Serif" w:cs="PT Astra Serif"/>
          <w:sz w:val="28"/>
          <w:szCs w:val="28"/>
        </w:rPr>
        <w:t>вывод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: работнику с суммированным учетом рабочего времени или при сменной работе за день сдачи крови и ее компонентов и за дополнительный выходной работодатель сохраняет средний заработок за число часов в его конкретной смене.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Донору, который трудился по графику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 длительностью смен 12 часов, дни сдачи крови и дополнительные дни отдыха оплачивали исходя из 8-часового рабочего дня. С действиями работодателя сотрудник не согласился и обратился в суд. ВС РФ указал:</w:t>
      </w:r>
    </w:p>
    <w:p w:rsidR="00AE7841" w:rsidRDefault="00BA5DAE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 xml:space="preserve">размер и характер компенсаций </w:t>
      </w:r>
      <w:r>
        <w:rPr>
          <w:rFonts w:ascii="PT Astra Serif" w:eastAsia="PT Astra Serif" w:hAnsi="PT Astra Serif" w:cs="PT Astra Serif"/>
          <w:sz w:val="28"/>
          <w:szCs w:val="28"/>
        </w:rPr>
        <w:t>не зависят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от ежеднев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ной нормы рабочего времени (40 часов в неделю) и режима работы;</w:t>
      </w:r>
    </w:p>
    <w:p w:rsidR="00AE7841" w:rsidRDefault="00BA5DAE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при сменном режиме рабочего времени по трудовому договору рабочим днем </w:t>
      </w:r>
      <w:r>
        <w:rPr>
          <w:rFonts w:ascii="PT Astra Serif" w:eastAsia="PT Astra Serif" w:hAnsi="PT Astra Serif" w:cs="PT Astra Serif"/>
          <w:sz w:val="28"/>
          <w:szCs w:val="28"/>
        </w:rPr>
        <w:t>считают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смену, длительность которой определяет график сменности. Она может выпадать на разные календарные дни;</w:t>
      </w:r>
    </w:p>
    <w:p w:rsidR="00AE7841" w:rsidRDefault="00BA5DAE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при сменно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 графике работника </w:t>
      </w:r>
      <w:r>
        <w:rPr>
          <w:rFonts w:ascii="PT Astra Serif" w:eastAsia="PT Astra Serif" w:hAnsi="PT Astra Serif" w:cs="PT Astra Serif"/>
          <w:sz w:val="28"/>
          <w:szCs w:val="28"/>
        </w:rPr>
        <w:t>освобождают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от работы в день сдачи крови, также он получает дополнительный выходной после каждого такого дня. День отдыха предоставляют не в виде календарного дня, а в виде рабочей смены по графику, которая может включать 2 календарных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дня;</w:t>
      </w:r>
    </w:p>
    <w:p w:rsidR="00AE7841" w:rsidRDefault="00BA5DAE">
      <w:pPr>
        <w:pStyle w:val="afa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расчет среднего заработка работника-донора исходя из 8-часового рабочего дня, а не числа часов в смене </w:t>
      </w:r>
      <w:r>
        <w:rPr>
          <w:rFonts w:ascii="PT Astra Serif" w:eastAsia="PT Astra Serif" w:hAnsi="PT Astra Serif" w:cs="PT Astra Serif"/>
          <w:sz w:val="28"/>
          <w:szCs w:val="28"/>
        </w:rPr>
        <w:t>лишает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его выплат, компенсирующих зарплату, которую он мог бы получать, если бы не сдавал кровь.</w:t>
      </w:r>
    </w:p>
    <w:p w:rsidR="00AE7841" w:rsidRDefault="00AE78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В Трудовом кодексе закреплены особенности регулирования труда руководителя государственного (муниципального) учреждения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contextualSpacing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Федеральный закон от 28.12.2025 № 510-ФЗ «О внесении изменений в Трудовой кодекс Российской Федерации»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Установлено, в частности, что сведения о доходах, об имуществе и обязательствах имущественного характера, предусмотренные Федеральным законом «О противодействии коррупции», представляются только лицами, поступающими на должность руководителя государственно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го (муниципального) учреждения.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Действующие руководители государственных (муниципальных) учреждений представляют сведения о расходах, предусмотренные Федеральным законом «О контроле за соответствием расходов лиц, замещающих государственные должности, и ины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х лиц их доходам», в установленных законом случаях.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Кроме того, установлен упрощенный порядок назначения на должность по решению Президента граждан, замещавших определенные должности государственной или муниципальной службы, в течение двух лет после увольн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ения с такой службы в организацию, в которой отдельные функции государственного управления организацией входили в должностные (служебные) обязанности этого служащего.</w:t>
      </w:r>
    </w:p>
    <w:p w:rsidR="00AE7841" w:rsidRDefault="00AE78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16"/>
          <w:szCs w:val="16"/>
        </w:rPr>
      </w:pPr>
    </w:p>
    <w:p w:rsidR="00AE7841" w:rsidRDefault="00AE78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16"/>
          <w:szCs w:val="16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В Трудовой кодекс РФ внесены изменения, уточняющие особенности регулирования труда спортсменов, тренеров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contextualSpacing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Федеральный закон от 29.12.2025 № 532-ФЗ «О внесении изменений в Трудовой кодекс Российской Федерации»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Поправками предусмотрено, что особенности регулирования труда спортсменов, тренеров должны также учитывать нормы, утвержденные профессиональными спортивными лигами и направленные на регулирование отношений, связанных с участием спортсменов в отдельных офиц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иальных спортивных соревнованиях, организованных профессиональными спортивными лигами.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Спортсменов, принимающих участие в таких соревнованиях, и тренеров, осуществляющих подготовку спортсменов, работодатели как при приеме на работу, так и в период действия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трудового договора обязаны знакомить с вышеназванными нормами.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Также закреплена обязанность работодателей направлять спортсменов, принимающих участие в отдельных официальных спортивных соревнованиях, и тренеров с их письменного согласия в спортивные сборн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ые команды РФ по вызовам (заявкам) общероссийских спортивных федераций по соответствующим виду или видам спорта для участия: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Олимпийских играх, юношеских Олимпийских играх, чемпионатах мира и первенствах мира, а также в тренировочных мероприятиях по подг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отовке к указанным соревнованиям не менее чем за семь календарных дней до начала указанных соревнований;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других международных спортивных мероприятиях, перечень которых утверждается Министерством спорта РФ по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согласованию с общероссийской спортивной федер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ацией по соответствующим виду или видам спорта и профессиональной спортивной лигой.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Настоящий Федеральный закон вступает в силу с 1 марта 2026 года.</w:t>
      </w:r>
    </w:p>
    <w:p w:rsidR="00AE7841" w:rsidRDefault="00AE7841">
      <w:pPr>
        <w:spacing w:after="0" w:line="240" w:lineRule="auto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AE7841">
      <w:pPr>
        <w:spacing w:after="0" w:line="240" w:lineRule="auto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Минтруд России: могут ли сотрудники забрать списанные СИЗ, решает работодатель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Письмо Минтруда России от 11.12.2025 № 15-2/В-4751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Когда у СИЗ истекает срок эксплуатации или годности, сотрудник, как правило, должен вернуть их работодателю. Ведомство </w:t>
      </w:r>
      <w:r>
        <w:rPr>
          <w:rFonts w:ascii="PT Astra Serif" w:eastAsia="PT Astra Serif" w:hAnsi="PT Astra Serif" w:cs="PT Astra Serif"/>
          <w:sz w:val="28"/>
          <w:szCs w:val="28"/>
        </w:rPr>
        <w:t>пояснило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что работодатель самостоятельно определяет порядок утилизации и вывода из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эксплуатации этих средств.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Правительством РФ на 2026 год установлены особенности правового регулирования трудовых отношений и иных непосредственно связанных с ними отношений</w:t>
      </w:r>
    </w:p>
    <w:p w:rsidR="00AE7841" w:rsidRDefault="00AE7841">
      <w:pP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contextualSpacing/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Постановление Правительства РФ от 25.12.2025 № 2131 «Об особенностях регулирования трудовых и иных непосредственно связанных с ними отношений»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Так, с письменного согласия работника работодателем может быть осуществлен его временный перевод на работу к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др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угому работодателю в той же либо в другой местности по направлению центра занятости населения, содержащему предложение работнику о таком переводе его к другому работодателю с указанием должности (профессии, специальности), условий оплаты труда, условий тру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да на рабочем месте, других условий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Предусмотрено, что на период временного перевода к другому работодателю действие первоначально заключенного трудового договора приостанавливается, течение срока действия первоначально заключенного трудового договора не прерывается.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Определены случаи, в кот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орых осуществляется временный перевод на работу к другому работодателю: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поступление запроса работодателя, содержащего информацию о наличии потребности во временном переводе работников от другого работодателя;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поступление в центр занятости населения сведени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й от работодателя о приостановке производства (работы).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Также установлены особенности заключения трудовых договоров с лицами, являющимися гражданами РФ, Украины и лицами без гражданства, постоянно проживающими на территориях Украины, ДНР, ЛНР, вынужденно п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окинувшими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указанные территории и прибывшими на территорию Российской Федерации в экстренном массовом порядке, при поступлении их на работу, требующую специальных знаний или специальной подготовки.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Постановление вступает в силу с 1 января 2026 года и дейст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вует до 1 января 2027 года.</w:t>
      </w: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Опубликованы единые рекомендации по установлению систем оплаты труда работников государственных и муниципальных учреждений на 2026 год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«Единые рекомендации по установлению на федеральном, региональном и местном уровнях систем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оплаты труда работников государственных и муниципальных учреждений на 2026 год» (утв. решением Российской трехсторонней комиссии по регулированию социально-трудовых отношений от 26.12.2025, протокол № 11пр)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Рекомендации учитываются Правительством РФ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бюджетной сферы.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Основные 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тличия от рекомендаций на 2025 год заключаются в следующем, в частности: уточнены перечни видов выплат компенсационного и стимулирующего характера и условия их применения; введены положения о порядке осуществления выплат за наставничество; установлены особ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енности,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касающиеся систем оплаты труда учителей, врачей, работников культуры и социальной защиты; установлены особенности системы оплаты труда работников дорожного хозяйства.</w:t>
      </w:r>
    </w:p>
    <w:p w:rsidR="00AE7841" w:rsidRDefault="00AE78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p w:rsidR="00AE7841" w:rsidRDefault="00AE784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Утверждены методические рекомендации МР 4.3.0388-25 «Инфразвук на рабочих местах»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bCs/>
          <w:i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025"/>
      </w:tblGrid>
      <w:tr w:rsidR="00AE7841">
        <w:tc>
          <w:tcPr>
            <w:tcW w:w="90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«МР 4.3.0388-25. 4.3. Методы контроля. Физические факторы. Инфразвук на рабочих местах.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Методические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рекомен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дации» (утв. Главным государственным санитарным врачом РФ 04.08.2025)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 рабочих местах контролируется инфразвук, создаваемый оборудованием (продукцией) машиностроения, приборостроения и электротехники производственного и инженерно-технического назначени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я, машинами и механизмами, имеющими поверхности больших размеров, совершающими низкочастотные механические колебания (инфразвук механического происхождения) или турбулентные потоки газов или жидкостей (инфразвук аэродинамического или гидродинамического про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исхождения); инфразвук, создаваемый инженерно-техническими системами воздухоподготовки, воздухоочистки и фильтрации; инфразвук, создаваемый транспортом, конвертерными и мартеновскими цехами металлургических производств, компрессорными газоперекачивающими с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танциями, портовыми кранами и др.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Методические рекомендации описывают порядок и условия проведения измерений инфразвука на рабочих местах с целью оценки соответствия его параметров гигиеническим нормативам.</w:t>
      </w: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Внесены изменения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</w:t>
      </w: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стей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color w:val="000000"/>
          <w:sz w:val="16"/>
          <w:szCs w:val="16"/>
        </w:rPr>
        <w:t> 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99"/>
      </w:tblGrid>
      <w:tr w:rsidR="00AE7841">
        <w:tc>
          <w:tcPr>
            <w:tcW w:w="91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Постановление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Прави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тельства РФ от 26.01.2026 № 39 «О внесении изменений в постановление Правительства Российской Федерации от 14 октября 2022 г. № 1830»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указанный перечень включена новая позиция - «Рабочие места в общественных и иных некоммерческих организациях, осуществляющих в качестве основного один из видов деятельности, предусмотренный кодом 94 Общероссийского классификатора видов экономической деят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ельности (ОКВЭД 2) ОК 029-2014 (КДЕС Ред. 2), - деятельность общественных и прочих некоммерческих организаций».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Кроме того, в новой редакции изложен перечень видов экономической деятельности, включенных в Общероссийский классификатор видов экономической де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ятельности (ОКВЭД 2) ОК 029-2014 (КДЕС Ред. 2), осуществляемых 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качестве основного в организациях - субъектах малого предпринимательства (включая работодателей - индивидуальных предпринимателей), отнесенных к микропредприятиям и малым предприятиям.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Настоя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щее Постановление вступает в силу с 1 сентября 2026 года.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  <w:r>
        <w:rPr>
          <w:rFonts w:ascii="PT Astra Serif" w:eastAsia="PT Astra Serif" w:hAnsi="PT Astra Serif" w:cs="PT Astra Serif"/>
          <w:color w:val="000000"/>
          <w:sz w:val="16"/>
          <w:szCs w:val="16"/>
        </w:rPr>
        <w:t> 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i/>
          <w:iCs/>
          <w:color w:val="000000"/>
          <w:sz w:val="28"/>
          <w:szCs w:val="28"/>
        </w:rPr>
        <w:t>С 1 сентября 2026 года вводится профессиональный стандарт «Инженер-ортезист»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color w:val="000000"/>
          <w:sz w:val="16"/>
          <w:szCs w:val="16"/>
        </w:rPr>
        <w:t> 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Приказ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Минтруда России от 02.12.2025 № 679н «Об утверждении профессионального стандарта «Инженер-ортезист»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Целью профессиональной деятельности данных специалистов является оказание услуги по обеспечению инвалидов ортезами по индивидуальным параметрам.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Приводится описание трудовых функций, устанавливаются требования к образованию и обучению, к опыту практической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работы, другие характеристики.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Настоящий приказ действует до 1 сентября 2032 г.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Конституционный Суд предложил временный порядок подсчета и компенсации часов переработки за фактически отработанный лицом, выполнявшим работу вахтовым методом, период, в случа</w:t>
      </w: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е его увольнения до окончания вахты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b/>
          <w:bCs/>
          <w:color w:val="000000"/>
          <w:sz w:val="16"/>
          <w:szCs w:val="16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39"/>
      </w:tblGrid>
      <w:tr w:rsidR="00AE7841">
        <w:trPr>
          <w:trHeight w:val="860"/>
        </w:trPr>
        <w:tc>
          <w:tcPr>
            <w:tcW w:w="9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1"/>
              </w:rPr>
              <w:lastRenderedPageBreak/>
              <w:t>П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остановление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К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онституционного Суда РФ от 06.02.2026 № 5-П «По делу о проверке конституционности статьи 300 Трудового кодекса Российской Федерации в связи с жалобой гражданина Чернова Сергея Николаевича»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Статья 300 ТК РФ признана не соответствующей Конституции РФ, в той мере, в какой она, не предусматривая правил учета рабочего времени и времени отдыха работника, работающего вахтовым методом, в случае его увольнения до окончания вахты, препятствует исчисле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нию переработки рабочего времени за фактически отработанный таким работником период и - в отсутствие в действующем законодательстве правового механизма, который гарантировал бы компенсацию работнику времени отдыха, полагающегося ему в связи с переработкой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рабочего времени в пределах графика работы на вахте и фактически не использованного им при увольнении, - не обеспечивает возможность получения работником денежной компенсации взамен такого отдыха.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Федеральному законодателю надлежит внести необходимые измен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ения в действующее правовое регулирование.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Впредь до внесения соответствующих изменений при увольнении работника, работающего вахтовым методом, до окончания вахты учитывается рабочее время и время отдыха такого работника за фактически отработанный им перио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 (с момента начала работы до момента прекращения трудового договора). При этом подсчет часов переработки осуществляется исходя из нормы рабочего времени на соответствующий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календарный период, исчисленной в порядке, предусмотренном действующим законодатель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ством. При наличии переработки рабочего времени в пределах графика работы на вахте за полагающиеся работнику в связи с такой переработкой и фактически не предоставленные ему дни отдыха должна быть выплачена денежная компенсация в размере, исчисленном по пр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авилам, установленным ТК РФ для оплаты дней междувахтового отдыха. При этом часы переработки рабочего времени в пределах графика работы на вахте, не кратные целому рабочему дню, подлежат оплате из расчета часовой ставки (части оклада (должностного оклада)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за час работы).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 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С 1 сентября 2026 года применяется актуализированный профессиональный стандарт «Врач скорой медицинской помощи»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16"/>
          <w:szCs w:val="16"/>
        </w:rPr>
        <w:t> 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AE7841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Приказ Минтруда России от 10.11.2025 № 634н «Об утверждении профессионального стандарта «Врач скорой медицинской помощи»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Целью профессиональной деятельности данных специалистов является оказание скорой, в том числе скорой специализированной, медицинской помощи вне медицинской организации, а также в амбулаторных и стационарных условиях, при заболеваниях, несчастных случаях, 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равмах, отравлениях и других состояниях, требующих срочного медицинского вмешательства.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Признается утратившим силу приказ Минтруда России от 14.03.2018 № 133н, которым утвержден аналогичный стандарт.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Настоящий приказ действует до 1 сентября 2032 года.</w:t>
      </w: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Работодателям организаций дорожной отрасли предлагается присоединиться к Отраслевому соглашению по дорожному хозяйству Российской Федерации на 2026 - 2028 годы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16"/>
          <w:szCs w:val="16"/>
        </w:rPr>
        <w:t> 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414"/>
      </w:tblGrid>
      <w:tr w:rsidR="00AE7841">
        <w:trPr>
          <w:trHeight w:val="614"/>
        </w:trPr>
        <w:tc>
          <w:tcPr>
            <w:tcW w:w="94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Письмо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Минтруда России от 02.02.2026 № 14-4/10/В-1488 «О присоединении к Отраслевому соглашению по дорожному хозяйству Российской Федерации на 2026 - 2028 годы»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Соглашение размещено на официальном сайте Минтруда России в сети «Интернет» (www.mintrud.gov.ru).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Если в течение 30 календарных дней со дня официального опубликования настоящего предложения работодателями, не участвовавшими в заключении соглашения, не будет представлен мотивированный письменный отказ присоединиться к нему, то соглашение будет считаться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распространенным на этих работодателей.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Минпросвещения направлены примерные штатные нормативы численности работников отдельных общеобразовательных организаций для обучающихся с ОВЗ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16"/>
          <w:szCs w:val="16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16"/>
          <w:szCs w:val="16"/>
        </w:rPr>
        <w:t> 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AE7841">
        <w:trPr>
          <w:trHeight w:val="342"/>
        </w:trPr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Письмо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Минпросвещения России от 15.01.2026 № АВ-64/07 «О направлении информации»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дополнение к письмам Минпросвещения России от 23 июня 2025 года № ОК-1835/08 и от 30 июня 2025 года № ОК-1902/08 направлены примерные штатные нормативы численности работников от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дельных общеобразовательных организаций, реализующих адаптированные основные общеобразовательные программы для глухих обучающихся, слабослышащих и позднооглохших обучающихся, слепых обучающихся, слабовидящих обучающихся, обучающихся с тяжелыми нарушениями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Также сообщается, что, принимая во внимание специфику 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ганизации деятельности отдельных общеобразовательных организаций для обучающихся с ОВЗ, указанные общеобразовательные организации не принимают участие в достижении показателя «Доля государственных и муниципальных дошкольных образовательных организаций, общ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еобразовательных организаций, профессиональных образовательных организаций и организаций дополнительного образования детей субъектов Российской Федерации, вовлеченных в реализацию проектов, направленных на повышение производительности труда», предусмотренн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ого федеральным проектом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«Производительность труда» национального проекта «Эффективная и конкурентная экономика».</w:t>
      </w: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/>
          <w:sz w:val="28"/>
          <w:szCs w:val="28"/>
        </w:rPr>
        <w:t>С 1 сентября 2026 года вступает в силу новый профессиональный стандарт «Специалист по работе с молодежью»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b/>
          <w:bCs/>
          <w:i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17"/>
        </w:rPr>
        <w:t> 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AE7841">
        <w:trPr>
          <w:trHeight w:val="275"/>
        </w:trPr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841" w:rsidRDefault="00BA5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Приказ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Минтруда России от 11.11.2025 № 640н «Об утверждении профессионального стандарта "Специалист по работе с молодежью»</w:t>
            </w:r>
          </w:p>
        </w:tc>
      </w:tr>
    </w:tbl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Краткое описание вида профессиональной деятельности: решение задач по реализации молодежной политики во всех сферах деятельности, в том ч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исле по защите прав и законных интересов молодежи, обеспечению равных условий для развития и самореализации молодежи, созданию условий для участия молодежи в жизни общества, повышению уровня межнационального (межэтнического) и межконфессионального согласия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молодежной среде, формированию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ональной принадлежности и другим негативным социальным явлениям и деструктивным идеологиям, формированию культуры семейных отношений, поддержке молодых семей, способствующей улучшению демографической ситуации.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Предусмотрены требования к образованию и обуче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нию, особые условия допуска к работе, другие характеристики.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Утратит силу аналогичный приказ Минтруда России от 12.02.2020 № 59н.</w:t>
      </w: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AE7841">
      <w:pP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lastRenderedPageBreak/>
        <w:t>ОХРАНА ТРУДА: ИНТЕРЕСНЫЕ ОТВЕТЫ ОНЛАЙН-ИНСПЕКЦИИ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  <w:t>ЗА ОКТЯБРЬ - НОЯБРЬ 2025 ГОДА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Можно ли наказать работника, если он переодевается в спецодежду во время смены?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Ведомство считает, что нельзя. Переодевание в спецодежду должно входить в рабочее время. Организации следует зафиксировать в ПВТР момент его начала и окончания, а также положе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ние о том, включают ли в него переодевание.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Медосмотры при приеме на работу организует кадровик или специалист по охране труда?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Это делает тот работник, для которого такую обязанность установил работодатель трудовым договором или должностной инструкцией.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Можно ли выдавать работникам бывшие в употреблении СИЗ с укороченным сроком носки?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Использованные СИЗ допустимо переводить только в дежурные.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contextualSpacing/>
        <w:jc w:val="both"/>
      </w:pP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  <w:t>РАБОТОДАТЕЛЯМ НА ЗАМЕТКУ: ПОЛЕЗНЫЕ ОТВЕТЫ ОНЛАЙН-ИНСПЕКЦИИ ЗА НОЯБРЬ 2025 ГОДА</w:t>
      </w:r>
    </w:p>
    <w:p w:rsidR="00AE7841" w:rsidRDefault="00AE7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rPr>
          <w:rFonts w:ascii="PT Astra Serif" w:hAnsi="PT Astra Serif" w:cs="PT Astra Serif"/>
          <w:sz w:val="28"/>
          <w:szCs w:val="28"/>
        </w:rPr>
      </w:pP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lastRenderedPageBreak/>
        <w:t>Можно ли заключить договор о полной материальной ответственности с совместителем?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если, в частности, совместитель работает на должности из </w:t>
      </w:r>
      <w:r>
        <w:rPr>
          <w:rFonts w:ascii="PT Astra Serif" w:eastAsia="PT Astra Serif" w:hAnsi="PT Astra Serif" w:cs="PT Astra Serif"/>
          <w:sz w:val="28"/>
          <w:szCs w:val="28"/>
        </w:rPr>
        <w:t>спецперечня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Обязан ли сотрудник подписывать договор о полной материальной ответственности?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, если специфика ра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боты </w:t>
      </w:r>
      <w:r>
        <w:rPr>
          <w:rFonts w:ascii="PT Astra Serif" w:eastAsia="PT Astra Serif" w:hAnsi="PT Astra Serif" w:cs="PT Astra Serif"/>
          <w:sz w:val="28"/>
          <w:szCs w:val="28"/>
        </w:rPr>
        <w:t>предусматривает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заключение такого договора. В случае отказа сотрудника можно привлечь к дисциплинарной ответственности.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Нужно ли брать согласие на наставничество и оплачивать его, если в функции специалиста входит помощь сотрудникам?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. Работодатель вправе включить функции по наставничеству в должностные обязанности специалиста. В этом случае доплат не производят.</w:t>
      </w:r>
    </w:p>
    <w:p w:rsidR="00AE7841" w:rsidRDefault="00BA5DAE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Допустимо ли из-за приема основного работника уволить совместителя – члена избиркома?</w:t>
      </w:r>
    </w:p>
    <w:p w:rsidR="00AE7841" w:rsidRDefault="00BA5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, поскольку члена участковой избира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тельной комиссии </w:t>
      </w:r>
      <w:r>
        <w:rPr>
          <w:rFonts w:ascii="PT Astra Serif" w:eastAsia="PT Astra Serif" w:hAnsi="PT Astra Serif" w:cs="PT Astra Serif"/>
          <w:sz w:val="28"/>
          <w:szCs w:val="28"/>
        </w:rPr>
        <w:t>запрещено увольнять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 инициативе работодателя до окончания срока полномочий.</w:t>
      </w:r>
    </w:p>
    <w:sectPr w:rsidR="00AE7841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AE" w:rsidRDefault="00BA5DAE">
      <w:pPr>
        <w:spacing w:after="0" w:line="240" w:lineRule="auto"/>
      </w:pPr>
      <w:r>
        <w:separator/>
      </w:r>
    </w:p>
  </w:endnote>
  <w:endnote w:type="continuationSeparator" w:id="0">
    <w:p w:rsidR="00BA5DAE" w:rsidRDefault="00BA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AE" w:rsidRDefault="00BA5DAE">
      <w:pPr>
        <w:spacing w:after="0" w:line="240" w:lineRule="auto"/>
      </w:pPr>
      <w:r>
        <w:separator/>
      </w:r>
    </w:p>
  </w:footnote>
  <w:footnote w:type="continuationSeparator" w:id="0">
    <w:p w:rsidR="00BA5DAE" w:rsidRDefault="00BA5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41" w:rsidRDefault="00BA5DAE">
    <w:pPr>
      <w:pStyle w:val="a9"/>
      <w:jc w:val="right"/>
    </w:pPr>
    <w:r>
      <w:fldChar w:fldCharType="begin"/>
    </w:r>
    <w:r>
      <w:instrText>PAGE \* MERGEFORMAT</w:instrText>
    </w:r>
    <w:r>
      <w:fldChar w:fldCharType="separate"/>
    </w:r>
    <w:r w:rsidR="00172EA9">
      <w:rPr>
        <w:noProof/>
      </w:rPr>
      <w:t>1</w:t>
    </w:r>
    <w:r>
      <w:fldChar w:fldCharType="end"/>
    </w:r>
  </w:p>
  <w:p w:rsidR="00AE7841" w:rsidRDefault="00AE78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508C"/>
    <w:multiLevelType w:val="hybridMultilevel"/>
    <w:tmpl w:val="A7FE5096"/>
    <w:lvl w:ilvl="0" w:tplc="0568A5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2A2E7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DB0E59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2714B7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B608F8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45C99B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D35E3E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79DE95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DE46C93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 w15:restartNumberingAfterBreak="0">
    <w:nsid w:val="2655332B"/>
    <w:multiLevelType w:val="hybridMultilevel"/>
    <w:tmpl w:val="73F62682"/>
    <w:lvl w:ilvl="0" w:tplc="8DFEEC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1ECF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7FEC32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1A821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805B1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F440D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462E0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2462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C9ACC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5AF11449"/>
    <w:multiLevelType w:val="hybridMultilevel"/>
    <w:tmpl w:val="DE04F07A"/>
    <w:lvl w:ilvl="0" w:tplc="07988B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0150BC2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FF8BB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7D62D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A38830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F4E497C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573286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8B2D56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BBEA93F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5BD5481F"/>
    <w:multiLevelType w:val="hybridMultilevel"/>
    <w:tmpl w:val="18AA7B1E"/>
    <w:lvl w:ilvl="0" w:tplc="A92EB7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138559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900095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1D8A0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B45E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B8AF0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A8408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C4D40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02026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72B2695D"/>
    <w:multiLevelType w:val="hybridMultilevel"/>
    <w:tmpl w:val="A3BCE08A"/>
    <w:lvl w:ilvl="0" w:tplc="C22461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780CA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7EA336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90E73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1870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CD0157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98A43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B6E36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74CEB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41"/>
    <w:rsid w:val="00172EA9"/>
    <w:rsid w:val="00AE7841"/>
    <w:rsid w:val="00B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B402D-E97E-4F2C-BAFE-432F49CF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1167&amp;dst=100009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4386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URT-20k-1</dc:creator>
  <cp:lastModifiedBy>URT-20k-1</cp:lastModifiedBy>
  <cp:revision>2</cp:revision>
  <dcterms:created xsi:type="dcterms:W3CDTF">2026-02-27T04:13:00Z</dcterms:created>
  <dcterms:modified xsi:type="dcterms:W3CDTF">2026-02-27T04:13:00Z</dcterms:modified>
</cp:coreProperties>
</file>